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2C6A" w14:textId="77777777" w:rsidR="00AF0504" w:rsidRPr="000B0342" w:rsidRDefault="00AF0504" w:rsidP="00AF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b/>
          <w:sz w:val="24"/>
          <w:szCs w:val="24"/>
        </w:rPr>
        <w:t>BILJEŠKE UZ FINANCIJSKI IZVJEŠTAJ ZA RAZDOBLJE</w:t>
      </w:r>
    </w:p>
    <w:p w14:paraId="26949D00" w14:textId="77777777" w:rsidR="00AF0504" w:rsidRDefault="00AF0504" w:rsidP="00902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b/>
          <w:sz w:val="24"/>
          <w:szCs w:val="24"/>
        </w:rPr>
        <w:t>od 1. siječnja do 31. prosinca 2023.godine</w:t>
      </w:r>
    </w:p>
    <w:p w14:paraId="2E57CF36" w14:textId="77777777" w:rsidR="00902CA8" w:rsidRPr="00902CA8" w:rsidRDefault="00902CA8" w:rsidP="00902C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505A8" w14:textId="77777777" w:rsidR="00AF0504" w:rsidRPr="000B0342" w:rsidRDefault="00AF0504" w:rsidP="00AF0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sz w:val="24"/>
          <w:szCs w:val="24"/>
        </w:rPr>
        <w:t xml:space="preserve">Broj RKP-a: </w:t>
      </w:r>
      <w:r w:rsidRPr="000B0342">
        <w:rPr>
          <w:rFonts w:ascii="Times New Roman" w:hAnsi="Times New Roman" w:cs="Times New Roman"/>
          <w:b/>
          <w:sz w:val="24"/>
          <w:szCs w:val="24"/>
        </w:rPr>
        <w:t>8213</w:t>
      </w:r>
    </w:p>
    <w:p w14:paraId="30A70354" w14:textId="77777777" w:rsidR="00AF0504" w:rsidRPr="000B0342" w:rsidRDefault="00AF0504" w:rsidP="00AF0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0B0342">
        <w:rPr>
          <w:rFonts w:ascii="Times New Roman" w:hAnsi="Times New Roman" w:cs="Times New Roman"/>
          <w:b/>
          <w:sz w:val="24"/>
          <w:szCs w:val="24"/>
        </w:rPr>
        <w:t>03316564</w:t>
      </w:r>
    </w:p>
    <w:p w14:paraId="12378CC1" w14:textId="77777777" w:rsidR="00AF0504" w:rsidRPr="000B0342" w:rsidRDefault="00AF0504" w:rsidP="00AF0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sz w:val="24"/>
          <w:szCs w:val="24"/>
        </w:rPr>
        <w:t xml:space="preserve">OIB: </w:t>
      </w:r>
      <w:r w:rsidRPr="000B0342">
        <w:rPr>
          <w:rFonts w:ascii="Times New Roman" w:hAnsi="Times New Roman" w:cs="Times New Roman"/>
          <w:b/>
          <w:sz w:val="24"/>
          <w:szCs w:val="24"/>
        </w:rPr>
        <w:t>07922840207</w:t>
      </w:r>
    </w:p>
    <w:p w14:paraId="781F766A" w14:textId="77777777" w:rsidR="00AF0504" w:rsidRPr="000B0342" w:rsidRDefault="00AF0504" w:rsidP="00AF0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sz w:val="24"/>
          <w:szCs w:val="24"/>
        </w:rPr>
        <w:t xml:space="preserve">Naziv obveznika: </w:t>
      </w:r>
      <w:r w:rsidRPr="000B0342">
        <w:rPr>
          <w:rFonts w:ascii="Times New Roman" w:hAnsi="Times New Roman" w:cs="Times New Roman"/>
          <w:b/>
          <w:sz w:val="24"/>
          <w:szCs w:val="24"/>
        </w:rPr>
        <w:t xml:space="preserve">OSNOVNA ŠKOLA IVANA VITEZA TRNSKOG </w:t>
      </w:r>
    </w:p>
    <w:p w14:paraId="6A0ECA73" w14:textId="77777777" w:rsidR="00AF0504" w:rsidRPr="000B0342" w:rsidRDefault="00AF0504" w:rsidP="00AF0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sz w:val="24"/>
          <w:szCs w:val="24"/>
        </w:rPr>
        <w:t xml:space="preserve">Adresa obveznika: </w:t>
      </w:r>
      <w:r w:rsidRPr="000B0342">
        <w:rPr>
          <w:rFonts w:ascii="Times New Roman" w:hAnsi="Times New Roman" w:cs="Times New Roman"/>
          <w:b/>
          <w:sz w:val="24"/>
          <w:szCs w:val="24"/>
        </w:rPr>
        <w:t>Trg Stjepana Radića 54, 43272 Nova Rača</w:t>
      </w:r>
    </w:p>
    <w:p w14:paraId="5479870D" w14:textId="77777777" w:rsidR="00AF0504" w:rsidRPr="000B0342" w:rsidRDefault="00AF0504" w:rsidP="00AF0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sz w:val="24"/>
          <w:szCs w:val="24"/>
        </w:rPr>
        <w:t xml:space="preserve">Oznaka razine: </w:t>
      </w:r>
      <w:r w:rsidRPr="000B0342">
        <w:rPr>
          <w:rFonts w:ascii="Times New Roman" w:hAnsi="Times New Roman" w:cs="Times New Roman"/>
          <w:b/>
          <w:sz w:val="24"/>
          <w:szCs w:val="24"/>
        </w:rPr>
        <w:t>31</w:t>
      </w:r>
    </w:p>
    <w:p w14:paraId="553EDF6E" w14:textId="77777777" w:rsidR="00AF0504" w:rsidRPr="000B0342" w:rsidRDefault="00AF0504" w:rsidP="00AF0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sz w:val="24"/>
          <w:szCs w:val="24"/>
        </w:rPr>
        <w:t xml:space="preserve">Šifra djelatnosti, razdjel: </w:t>
      </w:r>
      <w:r w:rsidRPr="000B0342">
        <w:rPr>
          <w:rFonts w:ascii="Times New Roman" w:hAnsi="Times New Roman" w:cs="Times New Roman"/>
          <w:b/>
          <w:sz w:val="24"/>
          <w:szCs w:val="24"/>
        </w:rPr>
        <w:t>8520 / 000</w:t>
      </w:r>
    </w:p>
    <w:p w14:paraId="680E5367" w14:textId="77777777" w:rsidR="00AF0504" w:rsidRPr="000B0342" w:rsidRDefault="00AF0504" w:rsidP="00AF05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Pr="000B0342">
        <w:rPr>
          <w:rFonts w:ascii="Times New Roman" w:hAnsi="Times New Roman" w:cs="Times New Roman"/>
          <w:b/>
          <w:sz w:val="24"/>
          <w:szCs w:val="24"/>
        </w:rPr>
        <w:t>287</w:t>
      </w:r>
    </w:p>
    <w:p w14:paraId="08A28B76" w14:textId="77777777" w:rsidR="005F46B7" w:rsidRPr="00902CA8" w:rsidRDefault="00AF0504" w:rsidP="00902C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342">
        <w:rPr>
          <w:rFonts w:ascii="Times New Roman" w:hAnsi="Times New Roman" w:cs="Times New Roman"/>
          <w:sz w:val="24"/>
          <w:szCs w:val="24"/>
        </w:rPr>
        <w:t xml:space="preserve">Adresa e-pošte za kontakt: </w:t>
      </w:r>
      <w:hyperlink r:id="rId4" w:history="1">
        <w:r w:rsidRPr="000B0342">
          <w:rPr>
            <w:rStyle w:val="Hiperveza"/>
            <w:rFonts w:ascii="Times New Roman" w:hAnsi="Times New Roman" w:cs="Times New Roman"/>
            <w:b/>
            <w:sz w:val="24"/>
            <w:szCs w:val="24"/>
            <w:u w:val="none"/>
          </w:rPr>
          <w:t>ured@os-ivt-nova-raca.skole.hr</w:t>
        </w:r>
      </w:hyperlink>
      <w:r w:rsidRPr="000B0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CCD6B4" w14:textId="77777777" w:rsidR="00AF0504" w:rsidRDefault="00AF0504">
      <w:pPr>
        <w:rPr>
          <w:rFonts w:ascii="Times New Roman" w:hAnsi="Times New Roman" w:cs="Times New Roman"/>
          <w:sz w:val="24"/>
        </w:rPr>
      </w:pPr>
    </w:p>
    <w:p w14:paraId="73559101" w14:textId="77777777" w:rsidR="00AF0504" w:rsidRPr="000B0342" w:rsidRDefault="00AF0504">
      <w:pPr>
        <w:rPr>
          <w:rFonts w:ascii="Times New Roman" w:hAnsi="Times New Roman" w:cs="Times New Roman"/>
          <w:b/>
          <w:sz w:val="24"/>
          <w:u w:val="single"/>
        </w:rPr>
      </w:pPr>
      <w:r w:rsidRPr="000B0342">
        <w:rPr>
          <w:rFonts w:ascii="Times New Roman" w:hAnsi="Times New Roman" w:cs="Times New Roman"/>
          <w:b/>
          <w:sz w:val="24"/>
          <w:u w:val="single"/>
        </w:rPr>
        <w:t>Bilješke uz Izvještaj o rashodima prema funkcijskoj klasifikaciji</w:t>
      </w:r>
    </w:p>
    <w:p w14:paraId="34A8B67F" w14:textId="77777777" w:rsidR="00AF0504" w:rsidRDefault="00AF0504" w:rsidP="00765F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Bilješka 1 – u ovom izvještaju ukupni rashodi iskazani su u iznosu od 1.292.120,05</w:t>
      </w:r>
      <w:r w:rsidR="000B0342">
        <w:rPr>
          <w:rFonts w:ascii="Times New Roman" w:hAnsi="Times New Roman" w:cs="Times New Roman"/>
          <w:sz w:val="24"/>
        </w:rPr>
        <w:t xml:space="preserve"> eura na poziciji R1, a rashodi se sastoje od ukupnih rashoda poslovanja i ukupnih rashoda za nabavu nefinancijske imovine u 2023., a iskazani su na poziciji 0912 u iznosu od 1.238.861,24 eura i poziciji 096 u iznosu od 53.258,81 eura.</w:t>
      </w:r>
    </w:p>
    <w:p w14:paraId="476DE59A" w14:textId="77777777" w:rsidR="000B0342" w:rsidRDefault="000B0342">
      <w:pPr>
        <w:rPr>
          <w:rFonts w:ascii="Times New Roman" w:hAnsi="Times New Roman" w:cs="Times New Roman"/>
          <w:sz w:val="24"/>
        </w:rPr>
      </w:pPr>
    </w:p>
    <w:p w14:paraId="5E0E1903" w14:textId="77777777" w:rsidR="000B0342" w:rsidRPr="000B0342" w:rsidRDefault="000B0342">
      <w:pPr>
        <w:rPr>
          <w:rFonts w:ascii="Times New Roman" w:hAnsi="Times New Roman" w:cs="Times New Roman"/>
          <w:b/>
          <w:sz w:val="24"/>
          <w:u w:val="single"/>
        </w:rPr>
      </w:pPr>
      <w:r w:rsidRPr="000B0342">
        <w:rPr>
          <w:rFonts w:ascii="Times New Roman" w:hAnsi="Times New Roman" w:cs="Times New Roman"/>
          <w:b/>
          <w:sz w:val="24"/>
          <w:u w:val="single"/>
        </w:rPr>
        <w:t>Bilješke uz Izvještaj o obavezama</w:t>
      </w:r>
    </w:p>
    <w:p w14:paraId="5DE280A6" w14:textId="77777777" w:rsidR="000B0342" w:rsidRDefault="000B0342" w:rsidP="00765F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Bilješka 2 – obaveze na početku razdoblja odnosno sa 01.01.2023. su iznosile 86.379,83 eura i iskazane su na poziciji V001. Obaveze na kraju razdoblja 31.12.2023. iznose 109.416,74 eura, a iskazane su na poziciji V006</w:t>
      </w:r>
      <w:r w:rsidR="00314DBA">
        <w:rPr>
          <w:rFonts w:ascii="Times New Roman" w:hAnsi="Times New Roman" w:cs="Times New Roman"/>
          <w:sz w:val="24"/>
        </w:rPr>
        <w:t>. Ukupno dospjele obveze iznose 102.443,17 eura i iskazane su na poziciji V007, a nedospjele obveze iznose 6.973,57 eura i iskazane su na poziciji V009, a odnose se na plaću od MZO-a za 12/2023, na međusobne obveze (bolovanja na teret HZZO-a) te nepodmirene račune čija valuta je u mjesecu siječnju 2024. godine.</w:t>
      </w:r>
    </w:p>
    <w:p w14:paraId="556E441C" w14:textId="77777777" w:rsidR="000529B5" w:rsidRDefault="000529B5" w:rsidP="00765F58">
      <w:pPr>
        <w:jc w:val="both"/>
        <w:rPr>
          <w:rFonts w:ascii="Times New Roman" w:hAnsi="Times New Roman" w:cs="Times New Roman"/>
          <w:sz w:val="24"/>
        </w:rPr>
      </w:pPr>
    </w:p>
    <w:p w14:paraId="0237BDEB" w14:textId="77777777" w:rsidR="000529B5" w:rsidRPr="000529B5" w:rsidRDefault="000529B5" w:rsidP="00765F5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529B5">
        <w:rPr>
          <w:rFonts w:ascii="Times New Roman" w:hAnsi="Times New Roman" w:cs="Times New Roman"/>
          <w:b/>
          <w:sz w:val="24"/>
          <w:u w:val="single"/>
        </w:rPr>
        <w:t>Bilješke uz Izvještaj o promjenama u vrijednosti i obujmu imovine i obveza</w:t>
      </w:r>
    </w:p>
    <w:p w14:paraId="2F7D8862" w14:textId="77777777" w:rsidR="000529B5" w:rsidRDefault="000529B5" w:rsidP="00765F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Bilješka 3</w:t>
      </w:r>
      <w:r w:rsidR="00F957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na računu 91512, a koji se odnosi na promjenu obujmu imovine iznosi 25.975,34 eura, zbog prijenosa vlasništva imovine od </w:t>
      </w:r>
      <w:proofErr w:type="spellStart"/>
      <w:r>
        <w:rPr>
          <w:rFonts w:ascii="Times New Roman" w:hAnsi="Times New Roman" w:cs="Times New Roman"/>
          <w:sz w:val="24"/>
        </w:rPr>
        <w:t>MZOa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57A9">
        <w:rPr>
          <w:rFonts w:ascii="Times New Roman" w:hAnsi="Times New Roman" w:cs="Times New Roman"/>
          <w:sz w:val="24"/>
        </w:rPr>
        <w:t>donešeno</w:t>
      </w:r>
      <w:proofErr w:type="spellEnd"/>
      <w:r w:rsidR="00F957A9">
        <w:rPr>
          <w:rFonts w:ascii="Times New Roman" w:hAnsi="Times New Roman" w:cs="Times New Roman"/>
          <w:sz w:val="24"/>
        </w:rPr>
        <w:t xml:space="preserve"> odlukom 30.06.2023. godine.</w:t>
      </w:r>
    </w:p>
    <w:p w14:paraId="7DE5F14A" w14:textId="77777777" w:rsidR="00F957A9" w:rsidRDefault="00F957A9" w:rsidP="00765F58">
      <w:pPr>
        <w:jc w:val="both"/>
        <w:rPr>
          <w:rFonts w:ascii="Times New Roman" w:hAnsi="Times New Roman" w:cs="Times New Roman"/>
          <w:sz w:val="24"/>
        </w:rPr>
      </w:pPr>
    </w:p>
    <w:p w14:paraId="7966A4FB" w14:textId="77777777" w:rsidR="00F957A9" w:rsidRDefault="00F957A9" w:rsidP="00765F5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957A9">
        <w:rPr>
          <w:rFonts w:ascii="Times New Roman" w:hAnsi="Times New Roman" w:cs="Times New Roman"/>
          <w:b/>
          <w:sz w:val="24"/>
          <w:u w:val="single"/>
        </w:rPr>
        <w:t>Bilješke uz bilancu</w:t>
      </w:r>
    </w:p>
    <w:p w14:paraId="71D4302F" w14:textId="77777777" w:rsidR="00F957A9" w:rsidRDefault="00F957A9" w:rsidP="00765F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Bilješka 4 – stanje imovine jednako je obvezama i vlastitim izvorima odnosno pozicija B001 jednaka je poziciji B003, a iznose 820.126,04 eura. Vidljivo je da je došlo do smanjenja manjka poslovanja u odnosu na prošlu godinu, odnosno manjak se smanjio sa 387.022,52 eura (pozicija 9222-9221 u PR-RAS-u) na 448.524,74 eura (pozicija 922 u Bil</w:t>
      </w:r>
      <w:r w:rsidR="00B42148">
        <w:rPr>
          <w:rFonts w:ascii="Times New Roman" w:hAnsi="Times New Roman" w:cs="Times New Roman"/>
          <w:sz w:val="24"/>
        </w:rPr>
        <w:t>anci i pozicija Y006 u PR-RAS-u).</w:t>
      </w:r>
    </w:p>
    <w:p w14:paraId="744976C7" w14:textId="77777777" w:rsidR="00B42148" w:rsidRDefault="00B42148" w:rsidP="00765F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Bilješka 5 – kao i prethodne godine u bilanci na poljima imovine vidi se vrijednost knjiga na pozicijama 024 i 02924 te 0241 koja se smanjila zbog toga što je napravljen jednokratni otpis </w:t>
      </w:r>
      <w:r>
        <w:rPr>
          <w:rFonts w:ascii="Times New Roman" w:hAnsi="Times New Roman" w:cs="Times New Roman"/>
          <w:sz w:val="24"/>
        </w:rPr>
        <w:lastRenderedPageBreak/>
        <w:t xml:space="preserve">(ispravak vrijednosti) školskih udžbenika po odluci </w:t>
      </w:r>
      <w:proofErr w:type="spellStart"/>
      <w:r>
        <w:rPr>
          <w:rFonts w:ascii="Times New Roman" w:hAnsi="Times New Roman" w:cs="Times New Roman"/>
          <w:sz w:val="24"/>
        </w:rPr>
        <w:t>MZOa</w:t>
      </w:r>
      <w:proofErr w:type="spellEnd"/>
      <w:r>
        <w:rPr>
          <w:rFonts w:ascii="Times New Roman" w:hAnsi="Times New Roman" w:cs="Times New Roman"/>
          <w:sz w:val="24"/>
        </w:rPr>
        <w:t xml:space="preserve"> iz 2019/2020, a odustalo se od godišnjeg otpisa vrijednosti od 20%, već je vrijednost udžbenika otpisana jednokratno.</w:t>
      </w:r>
    </w:p>
    <w:p w14:paraId="415EAC4D" w14:textId="77777777" w:rsidR="00B42148" w:rsidRDefault="00B42148" w:rsidP="00765F58">
      <w:pPr>
        <w:jc w:val="both"/>
        <w:rPr>
          <w:rFonts w:ascii="Times New Roman" w:hAnsi="Times New Roman" w:cs="Times New Roman"/>
          <w:sz w:val="24"/>
        </w:rPr>
      </w:pPr>
      <w:r w:rsidRPr="00713294">
        <w:rPr>
          <w:rFonts w:ascii="Times New Roman" w:hAnsi="Times New Roman" w:cs="Times New Roman"/>
          <w:sz w:val="24"/>
        </w:rPr>
        <w:t>Bilješka 6</w:t>
      </w:r>
      <w:r w:rsidR="0071329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Na kraju razdoblja 1.1.2023.-31.12.2023. godine stanje novca u banci iznosilo je 18.679,90, a iskazano je na poziciji bilance 1112. Ukupna potraživanja za prihode poslovanja iznosila su 7.482,25 eura (prihodi od najma prostora i školske kuhinje) na poziciji 16.</w:t>
      </w:r>
    </w:p>
    <w:p w14:paraId="6804D120" w14:textId="77777777" w:rsidR="00B04725" w:rsidRDefault="00713294" w:rsidP="00765F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Bilješka 7- ukupne obveze u bilanci iskazane su na poziciji 2 i iznose 109.416,74 eura, što odgovara iznosu iskazanom na obrascu Obveze na poziciji V006.  Također se iz bilance vidi da manjak prihoda u 2023. godini iznosi 141.231,47 eura na poziciji 922, a isto je iskazano i u obrascu PR-RAS na poziciji Y006.</w:t>
      </w:r>
    </w:p>
    <w:p w14:paraId="1BD79996" w14:textId="77777777" w:rsidR="00B04725" w:rsidRDefault="00B04725" w:rsidP="00765F5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04725">
        <w:rPr>
          <w:rFonts w:ascii="Times New Roman" w:hAnsi="Times New Roman" w:cs="Times New Roman"/>
          <w:b/>
          <w:sz w:val="24"/>
          <w:u w:val="single"/>
        </w:rPr>
        <w:t>Bilješke uz izvještaj o prihodima i rashodima, primicima i izdacima</w:t>
      </w:r>
    </w:p>
    <w:p w14:paraId="392BC49E" w14:textId="77777777" w:rsidR="00BB1783" w:rsidRPr="00B04725" w:rsidRDefault="00B04725" w:rsidP="007F5CC3">
      <w:pPr>
        <w:spacing w:after="0"/>
        <w:jc w:val="both"/>
        <w:rPr>
          <w:rFonts w:ascii="Times New Roman" w:hAnsi="Times New Roman" w:cs="Times New Roman"/>
          <w:sz w:val="24"/>
        </w:rPr>
      </w:pPr>
      <w:r w:rsidRPr="00B04725">
        <w:rPr>
          <w:rFonts w:ascii="Times New Roman" w:hAnsi="Times New Roman" w:cs="Times New Roman"/>
          <w:sz w:val="24"/>
        </w:rPr>
        <w:t>Bilješka 8</w:t>
      </w:r>
      <w:r>
        <w:rPr>
          <w:rFonts w:ascii="Times New Roman" w:hAnsi="Times New Roman" w:cs="Times New Roman"/>
          <w:sz w:val="24"/>
        </w:rPr>
        <w:t>- ukupni prihodi iznose 1.213.814,59 eura i iskazani su na poziciji 6, a sastoje se od</w:t>
      </w:r>
      <w:r w:rsidR="00BB1783" w:rsidRPr="00BB1783">
        <w:rPr>
          <w:rFonts w:ascii="Times New Roman" w:hAnsi="Times New Roman" w:cs="Times New Roman"/>
          <w:sz w:val="24"/>
        </w:rPr>
        <w:t xml:space="preserve"> tekućih i kapitalnih pomoći iz proračuna koji im nije nadležan a to su uplate od MZO-a za plaće, isplate po sudskim presudama i doznake za nabavu udžbenika te uplate općine Nova Rača, zatim od prihoda od kamata, od najma, prihodi za školsku kuhinju, tekuće donacije i prihodi iz nadležnog proračuna za materijalna prava i druge projekte financirane od strane osnivača Bjelovarsko – bilogorske županije. U odnosu na prošlu godinu vidi se da je došlo do povećanja prihoda iz razloga što su rasle plaće zaposlenicima, imali smo više donacija za dnevnice zaposlenicima koji su pratil</w:t>
      </w:r>
      <w:r w:rsidR="00BB1783">
        <w:rPr>
          <w:rFonts w:ascii="Times New Roman" w:hAnsi="Times New Roman" w:cs="Times New Roman"/>
          <w:sz w:val="24"/>
        </w:rPr>
        <w:t>i učenike na školskim izletima.</w:t>
      </w:r>
    </w:p>
    <w:p w14:paraId="5F22B2EB" w14:textId="77777777" w:rsidR="00BB1783" w:rsidRDefault="00B04725" w:rsidP="00BB1783">
      <w:pPr>
        <w:spacing w:after="0"/>
        <w:jc w:val="both"/>
        <w:rPr>
          <w:rFonts w:ascii="Times New Roman" w:hAnsi="Times New Roman" w:cs="Times New Roman"/>
          <w:sz w:val="24"/>
        </w:rPr>
      </w:pPr>
      <w:r w:rsidRPr="00B04725">
        <w:rPr>
          <w:rFonts w:ascii="Times New Roman" w:hAnsi="Times New Roman" w:cs="Times New Roman"/>
          <w:sz w:val="24"/>
        </w:rPr>
        <w:t>Bilješka 9</w:t>
      </w:r>
      <w:r w:rsidR="00BB1783">
        <w:rPr>
          <w:rFonts w:ascii="Times New Roman" w:hAnsi="Times New Roman" w:cs="Times New Roman"/>
          <w:sz w:val="24"/>
        </w:rPr>
        <w:t>-</w:t>
      </w:r>
      <w:r w:rsidR="00BB1783" w:rsidRPr="00BB1783">
        <w:rPr>
          <w:sz w:val="24"/>
          <w:szCs w:val="24"/>
        </w:rPr>
        <w:t xml:space="preserve"> </w:t>
      </w:r>
      <w:r w:rsidR="00BB1783" w:rsidRPr="00BB1783">
        <w:rPr>
          <w:rFonts w:ascii="Times New Roman" w:hAnsi="Times New Roman" w:cs="Times New Roman"/>
          <w:sz w:val="24"/>
        </w:rPr>
        <w:t>rashodi poslovanja iznose</w:t>
      </w:r>
      <w:r w:rsidR="00BB1783">
        <w:rPr>
          <w:rFonts w:ascii="Times New Roman" w:hAnsi="Times New Roman" w:cs="Times New Roman"/>
          <w:sz w:val="24"/>
        </w:rPr>
        <w:t xml:space="preserve"> 1.280.700,60</w:t>
      </w:r>
      <w:r w:rsidR="00BB1783" w:rsidRPr="00BB1783">
        <w:rPr>
          <w:rFonts w:ascii="Times New Roman" w:hAnsi="Times New Roman" w:cs="Times New Roman"/>
          <w:sz w:val="24"/>
        </w:rPr>
        <w:t xml:space="preserve"> </w:t>
      </w:r>
      <w:r w:rsidR="00BB1783">
        <w:rPr>
          <w:rFonts w:ascii="Times New Roman" w:hAnsi="Times New Roman" w:cs="Times New Roman"/>
          <w:sz w:val="24"/>
        </w:rPr>
        <w:t>eura</w:t>
      </w:r>
      <w:r w:rsidR="00BB1783" w:rsidRPr="00BB1783">
        <w:rPr>
          <w:rFonts w:ascii="Times New Roman" w:hAnsi="Times New Roman" w:cs="Times New Roman"/>
          <w:sz w:val="24"/>
        </w:rPr>
        <w:t xml:space="preserve"> i iskazani su na poziciji 3, rashodi za nabavu nefinancijske imovine iznose </w:t>
      </w:r>
      <w:r w:rsidR="00BB1783">
        <w:rPr>
          <w:rFonts w:ascii="Times New Roman" w:hAnsi="Times New Roman" w:cs="Times New Roman"/>
          <w:sz w:val="24"/>
        </w:rPr>
        <w:t xml:space="preserve">11.419,45 eura </w:t>
      </w:r>
      <w:r w:rsidR="00BB1783" w:rsidRPr="00BB1783">
        <w:rPr>
          <w:rFonts w:ascii="Times New Roman" w:hAnsi="Times New Roman" w:cs="Times New Roman"/>
          <w:sz w:val="24"/>
        </w:rPr>
        <w:t xml:space="preserve"> i iskazani su na poziciji 4, sastoje se od rashoda za zaposlene, materijalnih rashoda, financijskih rashoda, naknada te rashoda za nabavu proizvedene dugotrajne imovine i rashoda za dodatna ulaganja na nefinancijskoj imovini. </w:t>
      </w:r>
    </w:p>
    <w:p w14:paraId="5136D330" w14:textId="77777777" w:rsidR="00B04725" w:rsidRPr="00B04725" w:rsidRDefault="00BB1783" w:rsidP="007F5CC3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783">
        <w:rPr>
          <w:rFonts w:ascii="Times New Roman" w:hAnsi="Times New Roman" w:cs="Times New Roman"/>
          <w:sz w:val="24"/>
        </w:rPr>
        <w:t>U odnosu na prethodnu godinu došlo je do povećanja rashoda poslovanja uslijed raznih poskupljenja</w:t>
      </w:r>
      <w:r>
        <w:rPr>
          <w:rFonts w:ascii="Times New Roman" w:hAnsi="Times New Roman" w:cs="Times New Roman"/>
          <w:sz w:val="24"/>
        </w:rPr>
        <w:t xml:space="preserve"> materijala, sirovina, energenata. Sa rastom cijena, porasle su i cijene usluga što se odrazilo i na rashode za usluge. No, uspjeli smo značajno smanjiti financijske rashode u odnosu na prethodnu godinu.</w:t>
      </w:r>
      <w:r w:rsidRPr="00BB1783">
        <w:rPr>
          <w:rFonts w:ascii="Times New Roman" w:hAnsi="Times New Roman" w:cs="Times New Roman"/>
          <w:sz w:val="24"/>
        </w:rPr>
        <w:t xml:space="preserve"> Rashodi za nabavu nefinancijske imovine su u odnosu na prethodnu godinu puno manji iz razlog što smo imali manje dodatnih ulaganja na objektima iz razloga što smo završili sve projekte energetske obnove škola. </w:t>
      </w:r>
    </w:p>
    <w:p w14:paraId="3F50AEE8" w14:textId="77777777" w:rsidR="00902CA8" w:rsidRDefault="00B04725" w:rsidP="00765F58">
      <w:pPr>
        <w:jc w:val="both"/>
        <w:rPr>
          <w:rFonts w:ascii="Times New Roman" w:hAnsi="Times New Roman" w:cs="Times New Roman"/>
          <w:sz w:val="24"/>
        </w:rPr>
      </w:pPr>
      <w:r w:rsidRPr="00B04725">
        <w:rPr>
          <w:rFonts w:ascii="Times New Roman" w:hAnsi="Times New Roman" w:cs="Times New Roman"/>
          <w:sz w:val="24"/>
        </w:rPr>
        <w:t>Bilješka 10</w:t>
      </w:r>
      <w:r w:rsidR="00BB1783">
        <w:rPr>
          <w:rFonts w:ascii="Times New Roman" w:hAnsi="Times New Roman" w:cs="Times New Roman"/>
          <w:sz w:val="24"/>
        </w:rPr>
        <w:t xml:space="preserve">- </w:t>
      </w:r>
      <w:r w:rsidR="00902CA8">
        <w:rPr>
          <w:rFonts w:ascii="Times New Roman" w:hAnsi="Times New Roman" w:cs="Times New Roman"/>
          <w:sz w:val="24"/>
        </w:rPr>
        <w:t>u 2023. godini nije bilo viška prihoda na poziciji  X004, dok ukupan manjak iznosi 141.231,47 eura na poziciji Y006.</w:t>
      </w:r>
    </w:p>
    <w:p w14:paraId="1552C54A" w14:textId="77777777" w:rsidR="007F5CC3" w:rsidRDefault="007F5CC3" w:rsidP="00765F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Bilješka 11- razlika koja je vidljiva na poziciji 9222-9221,a odnosi se na razliku između prenesenog manjka prihoda i primitaka za pokriće u sljedećem razdoblju i manjka prihoda i primitaka koji su preneseni u tekuću godinu nastala je uslijed </w:t>
      </w:r>
      <w:proofErr w:type="spellStart"/>
      <w:r>
        <w:rPr>
          <w:rFonts w:ascii="Times New Roman" w:hAnsi="Times New Roman" w:cs="Times New Roman"/>
          <w:sz w:val="24"/>
        </w:rPr>
        <w:t>preknjižavanja</w:t>
      </w:r>
      <w:proofErr w:type="spellEnd"/>
      <w:r>
        <w:rPr>
          <w:rFonts w:ascii="Times New Roman" w:hAnsi="Times New Roman" w:cs="Times New Roman"/>
          <w:sz w:val="24"/>
        </w:rPr>
        <w:t xml:space="preserve"> stavki zbog usklade stanja.</w:t>
      </w:r>
    </w:p>
    <w:p w14:paraId="2367548B" w14:textId="77777777" w:rsidR="00B04725" w:rsidRDefault="00902CA8" w:rsidP="00765F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B17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04725">
        <w:rPr>
          <w:rFonts w:ascii="Times New Roman" w:hAnsi="Times New Roman" w:cs="Times New Roman"/>
          <w:sz w:val="24"/>
        </w:rPr>
        <w:t>U Novoj Rači, 2.2.2024. godine</w:t>
      </w:r>
    </w:p>
    <w:p w14:paraId="4E2315DD" w14:textId="77777777" w:rsidR="00B04725" w:rsidRDefault="00902CA8" w:rsidP="00902C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04725">
        <w:rPr>
          <w:rFonts w:ascii="Times New Roman" w:hAnsi="Times New Roman" w:cs="Times New Roman"/>
          <w:sz w:val="24"/>
        </w:rPr>
        <w:t>Voditelj računovodstva</w:t>
      </w:r>
      <w:r w:rsidR="00B04725">
        <w:rPr>
          <w:rFonts w:ascii="Times New Roman" w:hAnsi="Times New Roman" w:cs="Times New Roman"/>
          <w:sz w:val="24"/>
        </w:rPr>
        <w:tab/>
      </w:r>
      <w:r w:rsidR="00B04725">
        <w:rPr>
          <w:rFonts w:ascii="Times New Roman" w:hAnsi="Times New Roman" w:cs="Times New Roman"/>
          <w:sz w:val="24"/>
        </w:rPr>
        <w:tab/>
      </w:r>
      <w:r w:rsidR="00B04725">
        <w:rPr>
          <w:rFonts w:ascii="Times New Roman" w:hAnsi="Times New Roman" w:cs="Times New Roman"/>
          <w:sz w:val="24"/>
        </w:rPr>
        <w:tab/>
      </w:r>
      <w:r w:rsidR="00B04725">
        <w:rPr>
          <w:rFonts w:ascii="Times New Roman" w:hAnsi="Times New Roman" w:cs="Times New Roman"/>
          <w:sz w:val="24"/>
        </w:rPr>
        <w:tab/>
      </w:r>
      <w:r w:rsidR="00B04725">
        <w:rPr>
          <w:rFonts w:ascii="Times New Roman" w:hAnsi="Times New Roman" w:cs="Times New Roman"/>
          <w:sz w:val="24"/>
        </w:rPr>
        <w:tab/>
      </w:r>
      <w:r w:rsidR="00B04725">
        <w:rPr>
          <w:rFonts w:ascii="Times New Roman" w:hAnsi="Times New Roman" w:cs="Times New Roman"/>
          <w:sz w:val="24"/>
        </w:rPr>
        <w:tab/>
      </w:r>
      <w:r w:rsidR="00B04725">
        <w:rPr>
          <w:rFonts w:ascii="Times New Roman" w:hAnsi="Times New Roman" w:cs="Times New Roman"/>
          <w:sz w:val="24"/>
        </w:rPr>
        <w:tab/>
        <w:t>Ravnatelj</w:t>
      </w:r>
    </w:p>
    <w:p w14:paraId="330A900F" w14:textId="77777777" w:rsidR="00B04725" w:rsidRDefault="00B04725" w:rsidP="00765F58">
      <w:pPr>
        <w:jc w:val="both"/>
        <w:rPr>
          <w:rFonts w:ascii="Times New Roman" w:hAnsi="Times New Roman" w:cs="Times New Roman"/>
          <w:sz w:val="24"/>
        </w:rPr>
      </w:pPr>
    </w:p>
    <w:p w14:paraId="374561F2" w14:textId="77777777" w:rsidR="00B04725" w:rsidRDefault="00B04725" w:rsidP="00765F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902CA8">
        <w:rPr>
          <w:rFonts w:ascii="Times New Roman" w:hAnsi="Times New Roman" w:cs="Times New Roman"/>
          <w:sz w:val="24"/>
        </w:rPr>
        <w:t>_____</w:t>
      </w:r>
      <w:r w:rsidR="00902CA8">
        <w:rPr>
          <w:rFonts w:ascii="Times New Roman" w:hAnsi="Times New Roman" w:cs="Times New Roman"/>
          <w:sz w:val="24"/>
        </w:rPr>
        <w:tab/>
      </w:r>
      <w:r w:rsidR="00902C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</w:t>
      </w:r>
      <w:r w:rsidR="00902CA8">
        <w:rPr>
          <w:rFonts w:ascii="Times New Roman" w:hAnsi="Times New Roman" w:cs="Times New Roman"/>
          <w:sz w:val="24"/>
        </w:rPr>
        <w:t>______</w:t>
      </w:r>
    </w:p>
    <w:p w14:paraId="7BCB5A3A" w14:textId="77777777" w:rsidR="00B04725" w:rsidRPr="00B42148" w:rsidRDefault="00B04725" w:rsidP="00B0472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</w:rPr>
        <w:t>Bazić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02CA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Dario Jaušić</w:t>
      </w:r>
    </w:p>
    <w:sectPr w:rsidR="00B04725" w:rsidRPr="00B4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68"/>
    <w:rsid w:val="000529B5"/>
    <w:rsid w:val="000B0342"/>
    <w:rsid w:val="00222E68"/>
    <w:rsid w:val="00314DBA"/>
    <w:rsid w:val="003E1E63"/>
    <w:rsid w:val="00434C39"/>
    <w:rsid w:val="005F46B7"/>
    <w:rsid w:val="00713294"/>
    <w:rsid w:val="00765F58"/>
    <w:rsid w:val="007F5CC3"/>
    <w:rsid w:val="00902CA8"/>
    <w:rsid w:val="00AF0504"/>
    <w:rsid w:val="00B04725"/>
    <w:rsid w:val="00B42148"/>
    <w:rsid w:val="00B55ABA"/>
    <w:rsid w:val="00BB1783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6640"/>
  <w15:chartTrackingRefBased/>
  <w15:docId w15:val="{E8E68738-ECDA-415A-9050-950F31E3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0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vt-nova-ra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Dario Jaušić</cp:lastModifiedBy>
  <cp:revision>2</cp:revision>
  <dcterms:created xsi:type="dcterms:W3CDTF">2024-02-05T12:57:00Z</dcterms:created>
  <dcterms:modified xsi:type="dcterms:W3CDTF">2024-02-05T12:57:00Z</dcterms:modified>
</cp:coreProperties>
</file>